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 w:firstLineChars="0"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bCs/>
          <w:sz w:val="32"/>
          <w:szCs w:val="40"/>
        </w:rPr>
        <w:t>附</w:t>
      </w:r>
      <w:r>
        <w:rPr>
          <w:rFonts w:hint="eastAsia" w:ascii="Times New Roman" w:hAnsi="Times New Roman" w:eastAsia="黑体"/>
          <w:bCs/>
          <w:sz w:val="32"/>
          <w:szCs w:val="40"/>
          <w:lang w:eastAsia="zh-CN"/>
        </w:rPr>
        <w:t>件</w:t>
      </w:r>
      <w:r>
        <w:rPr>
          <w:rFonts w:ascii="Times New Roman" w:hAnsi="Times New Roman" w:eastAsia="黑体"/>
          <w:szCs w:val="32"/>
        </w:rPr>
        <w:t>4</w:t>
      </w:r>
    </w:p>
    <w:p>
      <w:pPr>
        <w:pStyle w:val="3"/>
        <w:spacing w:line="560" w:lineRule="exac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乐企直连服务授权委托书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纳税人识别号：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被授权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纳税人识别号：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一、乐企自用</w:t>
      </w:r>
      <w:r>
        <w:rPr>
          <w:rFonts w:hint="eastAsia" w:ascii="仿宋_GB2312" w:hAnsi="仿宋_GB2312" w:eastAsia="仿宋_GB2312" w:cs="仿宋_GB2312"/>
          <w:sz w:val="32"/>
          <w:szCs w:val="32"/>
        </w:rPr>
        <w:t>直连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单位授权其关联企业建设、管理平台，或授权不具关联关系的第三方企业承担建设责任，并承担因被授权单位的违法违规行为引发严重后果的连带责任。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二、被授权单位应当能够统筹建设或改造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乐企自用</w:t>
      </w:r>
      <w:r>
        <w:rPr>
          <w:rFonts w:hint="eastAsia" w:ascii="仿宋_GB2312" w:hAnsi="仿宋_GB2312" w:eastAsia="仿宋_GB2312" w:cs="仿宋_GB2312"/>
          <w:sz w:val="32"/>
          <w:szCs w:val="32"/>
        </w:rPr>
        <w:t>直连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单位及使用单位的自有业务系统以适配乐企服务要求；被授权单位为授权单位的关联企业时，被授权单位可按照税务机关的服务管理要求，代表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直连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单位实施乐企对接，并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乐企自用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的管理工作。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被授权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应当具备的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（一）基本条件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.已纳入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数电票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开票试点纳税人范围；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.纳税信用等级为A、B级（B级纳税人需要定期提供货物流、资金流、现金流的有关数据）；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.近三年内不存在税务机关确定的重大税收违法行为；</w:t>
      </w:r>
    </w:p>
    <w:p>
      <w:pPr>
        <w:overflowPunct w:val="0"/>
        <w:spacing w:line="56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.能按照税务机关要求依法提供相关涉税数据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，包括但不限于使用单位身份信息、取酬账户信息、经营收入情况等，以及需要特别提供的货物流、资金流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、现金流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等其他涉税数据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（二）技术和安全条件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1.有较强的信息化建设、服务、运维能力，企业自有信息系统具有软件著作权、使用权，或相关授权；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</w:rPr>
        <w:t>乐企自用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必须按照税务机关的要求保存数据并内嵌风险控制规则，同时向税务机关开放接口，供税务机关在线审计；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3.遵守网络安全、数据安全相关规定，遵循税务机关相关管理要求，如实向税务机关报告重大变化和使用单位情况，并承担因使用单位的违法违规行为引发严重后果的连带责任。</w:t>
      </w: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</w:rPr>
      </w:pP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(盖章)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(签名)</w:t>
      </w:r>
    </w:p>
    <w:p>
      <w:pPr>
        <w:pStyle w:val="2"/>
        <w:spacing w:line="560" w:lineRule="exact"/>
        <w:ind w:left="0" w:leftChars="0"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日 </w:t>
      </w:r>
    </w:p>
    <w:p>
      <w:pPr>
        <w:pStyle w:val="2"/>
        <w:spacing w:line="560" w:lineRule="exact"/>
        <w:ind w:left="0" w:leftChars="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被授权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(盖章)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(签名)</w:t>
      </w:r>
    </w:p>
    <w:p>
      <w:pPr>
        <w:spacing w:line="56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日 </w:t>
      </w:r>
    </w:p>
    <w:p>
      <w:pPr>
        <w:spacing w:line="560" w:lineRule="exact"/>
      </w:pPr>
    </w:p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F1AB0"/>
    <w:rsid w:val="018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0"/>
    <w:pPr>
      <w:adjustRightInd w:val="0"/>
      <w:snapToGrid w:val="0"/>
      <w:spacing w:line="580" w:lineRule="exact"/>
      <w:ind w:firstLine="880" w:firstLineChars="200"/>
    </w:pPr>
    <w:rPr>
      <w:rFonts w:ascii="仿宋_GB2312" w:hAnsi="仿宋_GB2312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2023-03-08T06:49:00Z</dcterms:created>
  <dc:creator>邢小华</dc:creator>
  <cp:lastModifiedBy>邢小华</cp:lastModifiedBy>
  <dcterms:modified xsi:type="dcterms:W3CDTF">2023-03-08T06:49:58Z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